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E0ED" w14:textId="3F556023" w:rsidR="008553A7" w:rsidRPr="00CA5AB7" w:rsidRDefault="00C22C0D" w:rsidP="00B45798">
      <w:pPr>
        <w:jc w:val="center"/>
        <w:rPr>
          <w:rFonts w:asciiTheme="majorHAnsi" w:hAnsiTheme="majorHAnsi" w:cstheme="majorHAnsi"/>
          <w:b/>
        </w:rPr>
      </w:pPr>
      <w:r>
        <w:rPr>
          <w:rFonts w:asciiTheme="majorHAnsi" w:hAnsiTheme="majorHAnsi" w:cstheme="majorHAnsi"/>
          <w:b/>
        </w:rPr>
        <w:t xml:space="preserve"> </w:t>
      </w:r>
      <w:r w:rsidR="008553A7" w:rsidRPr="00CA5AB7">
        <w:rPr>
          <w:rFonts w:asciiTheme="majorHAnsi" w:hAnsiTheme="majorHAnsi" w:cstheme="majorHAnsi"/>
          <w:b/>
        </w:rPr>
        <w:t>CONVOCATORIA A FERIA INCLUSIVA</w:t>
      </w:r>
    </w:p>
    <w:p w14:paraId="6FBD688F" w14:textId="57FA3444" w:rsidR="00CA5AB7" w:rsidRPr="00CA5AB7" w:rsidRDefault="008553A7" w:rsidP="00CA5AB7">
      <w:pPr>
        <w:spacing w:after="0"/>
        <w:ind w:left="360"/>
        <w:jc w:val="both"/>
        <w:rPr>
          <w:rFonts w:asciiTheme="majorHAnsi" w:eastAsia="SimSun" w:hAnsiTheme="majorHAnsi" w:cstheme="majorHAnsi"/>
        </w:rPr>
      </w:pPr>
      <w:r w:rsidRPr="00CA5AB7">
        <w:rPr>
          <w:rFonts w:asciiTheme="majorHAnsi" w:hAnsiTheme="majorHAnsi" w:cstheme="majorHAnsi"/>
        </w:rPr>
        <w:t>La</w:t>
      </w:r>
      <w:r w:rsidRPr="00CA5AB7">
        <w:rPr>
          <w:rFonts w:asciiTheme="majorHAnsi" w:hAnsiTheme="majorHAnsi" w:cstheme="majorHAnsi"/>
          <w:spacing w:val="-6"/>
        </w:rPr>
        <w:t xml:space="preserve"> </w:t>
      </w:r>
      <w:r w:rsidRPr="00CA5AB7">
        <w:rPr>
          <w:rFonts w:asciiTheme="majorHAnsi" w:hAnsiTheme="majorHAnsi" w:cstheme="majorHAnsi"/>
        </w:rPr>
        <w:t>Dirección</w:t>
      </w:r>
      <w:r w:rsidRPr="00CA5AB7">
        <w:rPr>
          <w:rFonts w:asciiTheme="majorHAnsi" w:hAnsiTheme="majorHAnsi" w:cstheme="majorHAnsi"/>
          <w:spacing w:val="-8"/>
        </w:rPr>
        <w:t xml:space="preserve"> </w:t>
      </w:r>
      <w:r w:rsidRPr="00CA5AB7">
        <w:rPr>
          <w:rFonts w:asciiTheme="majorHAnsi" w:hAnsiTheme="majorHAnsi" w:cstheme="majorHAnsi"/>
        </w:rPr>
        <w:t>Distrital</w:t>
      </w:r>
      <w:r w:rsidRPr="00CA5AB7">
        <w:rPr>
          <w:rFonts w:asciiTheme="majorHAnsi" w:hAnsiTheme="majorHAnsi" w:cstheme="majorHAnsi"/>
          <w:spacing w:val="-5"/>
        </w:rPr>
        <w:t xml:space="preserve"> </w:t>
      </w:r>
      <w:r w:rsidRPr="00CA5AB7">
        <w:rPr>
          <w:rFonts w:asciiTheme="majorHAnsi" w:hAnsiTheme="majorHAnsi" w:cstheme="majorHAnsi"/>
        </w:rPr>
        <w:t>09D17</w:t>
      </w:r>
      <w:r w:rsidRPr="00CA5AB7">
        <w:rPr>
          <w:rFonts w:asciiTheme="majorHAnsi" w:hAnsiTheme="majorHAnsi" w:cstheme="majorHAnsi"/>
          <w:spacing w:val="-6"/>
        </w:rPr>
        <w:t xml:space="preserve"> </w:t>
      </w:r>
      <w:r w:rsidRPr="00CA5AB7">
        <w:rPr>
          <w:rFonts w:asciiTheme="majorHAnsi" w:hAnsiTheme="majorHAnsi" w:cstheme="majorHAnsi"/>
        </w:rPr>
        <w:t>Milagro</w:t>
      </w:r>
      <w:r w:rsidRPr="00CA5AB7">
        <w:rPr>
          <w:rFonts w:asciiTheme="majorHAnsi" w:hAnsiTheme="majorHAnsi" w:cstheme="majorHAnsi"/>
          <w:spacing w:val="-8"/>
        </w:rPr>
        <w:t xml:space="preserve"> </w:t>
      </w:r>
      <w:r w:rsidRPr="00CA5AB7">
        <w:rPr>
          <w:rFonts w:asciiTheme="majorHAnsi" w:hAnsiTheme="majorHAnsi" w:cstheme="majorHAnsi"/>
        </w:rPr>
        <w:t>MIES</w:t>
      </w:r>
      <w:r w:rsidRPr="00CA5AB7">
        <w:rPr>
          <w:rFonts w:asciiTheme="majorHAnsi" w:hAnsiTheme="majorHAnsi" w:cstheme="majorHAnsi"/>
          <w:spacing w:val="-6"/>
        </w:rPr>
        <w:t xml:space="preserve"> </w:t>
      </w:r>
      <w:r w:rsidRPr="00CA5AB7">
        <w:rPr>
          <w:rFonts w:asciiTheme="majorHAnsi" w:hAnsiTheme="majorHAnsi" w:cstheme="majorHAnsi"/>
        </w:rPr>
        <w:t>convoca</w:t>
      </w:r>
      <w:r w:rsidRPr="00CA5AB7">
        <w:rPr>
          <w:rFonts w:asciiTheme="majorHAnsi" w:hAnsiTheme="majorHAnsi" w:cstheme="majorHAnsi"/>
          <w:spacing w:val="-6"/>
        </w:rPr>
        <w:t xml:space="preserve"> </w:t>
      </w:r>
      <w:r w:rsidRPr="00CA5AB7">
        <w:rPr>
          <w:rFonts w:asciiTheme="majorHAnsi" w:hAnsiTheme="majorHAnsi" w:cstheme="majorHAnsi"/>
        </w:rPr>
        <w:t>a</w:t>
      </w:r>
      <w:r w:rsidRPr="00CA5AB7">
        <w:rPr>
          <w:rFonts w:asciiTheme="majorHAnsi" w:hAnsiTheme="majorHAnsi" w:cstheme="majorHAnsi"/>
          <w:spacing w:val="-8"/>
        </w:rPr>
        <w:t xml:space="preserve"> </w:t>
      </w:r>
      <w:r w:rsidRPr="00CA5AB7">
        <w:rPr>
          <w:rFonts w:asciiTheme="majorHAnsi" w:hAnsiTheme="majorHAnsi" w:cstheme="majorHAnsi"/>
        </w:rPr>
        <w:t>todas</w:t>
      </w:r>
      <w:r w:rsidRPr="00CA5AB7">
        <w:rPr>
          <w:rFonts w:asciiTheme="majorHAnsi" w:hAnsiTheme="majorHAnsi" w:cstheme="majorHAnsi"/>
          <w:spacing w:val="-7"/>
        </w:rPr>
        <w:t xml:space="preserve"> </w:t>
      </w:r>
      <w:r w:rsidRPr="00CA5AB7">
        <w:rPr>
          <w:rFonts w:asciiTheme="majorHAnsi" w:hAnsiTheme="majorHAnsi" w:cstheme="majorHAnsi"/>
        </w:rPr>
        <w:t>las</w:t>
      </w:r>
      <w:r w:rsidRPr="00CA5AB7">
        <w:rPr>
          <w:rFonts w:asciiTheme="majorHAnsi" w:hAnsiTheme="majorHAnsi" w:cstheme="majorHAnsi"/>
          <w:spacing w:val="-5"/>
        </w:rPr>
        <w:t xml:space="preserve"> </w:t>
      </w:r>
      <w:r w:rsidRPr="00CA5AB7">
        <w:rPr>
          <w:rFonts w:asciiTheme="majorHAnsi" w:hAnsiTheme="majorHAnsi" w:cstheme="majorHAnsi"/>
        </w:rPr>
        <w:t>personas</w:t>
      </w:r>
      <w:r w:rsidRPr="00CA5AB7">
        <w:rPr>
          <w:rFonts w:asciiTheme="majorHAnsi" w:hAnsiTheme="majorHAnsi" w:cstheme="majorHAnsi"/>
          <w:spacing w:val="-4"/>
        </w:rPr>
        <w:t xml:space="preserve"> </w:t>
      </w:r>
      <w:r w:rsidRPr="00CA5AB7">
        <w:rPr>
          <w:rFonts w:asciiTheme="majorHAnsi" w:hAnsiTheme="majorHAnsi" w:cstheme="majorHAnsi"/>
        </w:rPr>
        <w:t>naturales</w:t>
      </w:r>
      <w:r w:rsidRPr="00CA5AB7">
        <w:rPr>
          <w:rFonts w:asciiTheme="majorHAnsi" w:hAnsiTheme="majorHAnsi" w:cstheme="majorHAnsi"/>
          <w:spacing w:val="-5"/>
        </w:rPr>
        <w:t xml:space="preserve"> </w:t>
      </w:r>
      <w:r w:rsidRPr="00CA5AB7">
        <w:rPr>
          <w:rFonts w:asciiTheme="majorHAnsi" w:hAnsiTheme="majorHAnsi" w:cstheme="majorHAnsi"/>
        </w:rPr>
        <w:t>y</w:t>
      </w:r>
      <w:r w:rsidRPr="00CA5AB7">
        <w:rPr>
          <w:rFonts w:asciiTheme="majorHAnsi" w:hAnsiTheme="majorHAnsi" w:cstheme="majorHAnsi"/>
          <w:spacing w:val="-8"/>
        </w:rPr>
        <w:t xml:space="preserve"> </w:t>
      </w:r>
      <w:r w:rsidRPr="00CA5AB7">
        <w:rPr>
          <w:rFonts w:asciiTheme="majorHAnsi" w:hAnsiTheme="majorHAnsi" w:cstheme="majorHAnsi"/>
        </w:rPr>
        <w:t>jurídicas,</w:t>
      </w:r>
      <w:r w:rsidRPr="00CA5AB7">
        <w:rPr>
          <w:rFonts w:asciiTheme="majorHAnsi" w:hAnsiTheme="majorHAnsi" w:cstheme="majorHAnsi"/>
          <w:spacing w:val="-6"/>
        </w:rPr>
        <w:t xml:space="preserve"> </w:t>
      </w:r>
      <w:r w:rsidRPr="00CA5AB7">
        <w:rPr>
          <w:rFonts w:asciiTheme="majorHAnsi" w:hAnsiTheme="majorHAnsi" w:cstheme="majorHAnsi"/>
        </w:rPr>
        <w:t xml:space="preserve">de manera individual o a manera de asociaciones legalmente constituidas, que estén domiciliadas en la provincia del Guayas, dentro del cantón: </w:t>
      </w:r>
      <w:r w:rsidR="00CA5AB7" w:rsidRPr="00CA5AB7">
        <w:rPr>
          <w:rFonts w:asciiTheme="majorHAnsi" w:hAnsiTheme="majorHAnsi" w:cstheme="majorHAnsi"/>
        </w:rPr>
        <w:t xml:space="preserve">San Francisco de Milagro, San Jacinto de Yaguachi, Crnel. Marcelino Maridueña, El Triunfo, Simón Bolívar, Balao, Naranjal, Naranjito, Gral. Antonio Elizalde –Bucay, Alfredo Baquerizo Moreno –Jujan, </w:t>
      </w:r>
      <w:r w:rsidRPr="00CA5AB7">
        <w:rPr>
          <w:rFonts w:asciiTheme="majorHAnsi" w:hAnsiTheme="majorHAnsi" w:cstheme="majorHAnsi"/>
        </w:rPr>
        <w:t>para la presentación de ofertas relacionadas con la</w:t>
      </w:r>
      <w:r w:rsidRPr="00CA5AB7">
        <w:rPr>
          <w:rFonts w:asciiTheme="majorHAnsi" w:hAnsiTheme="majorHAnsi" w:cstheme="majorHAnsi"/>
          <w:b/>
        </w:rPr>
        <w:t xml:space="preserve">: </w:t>
      </w:r>
      <w:r w:rsidR="00CA5AB7" w:rsidRPr="00CA5AB7">
        <w:rPr>
          <w:rFonts w:asciiTheme="majorHAnsi" w:hAnsiTheme="majorHAnsi" w:cstheme="majorHAnsi"/>
          <w:b/>
          <w:bCs/>
        </w:rPr>
        <w:t xml:space="preserve">“CONTRATACIÓN DEL SERVICIO DE ALQUILER DE VEHICULO PARA USO DEL TÉCNICO BONO JOAQUIN GALLEGOS LARA DE LA DIRECCIÓN DISTRITAL MIES MILAGRO” </w:t>
      </w:r>
      <w:r w:rsidR="00CA5AB7" w:rsidRPr="00CA5AB7">
        <w:rPr>
          <w:rFonts w:asciiTheme="majorHAnsi" w:hAnsiTheme="majorHAnsi" w:cstheme="majorHAnsi"/>
          <w:lang w:eastAsia="es-EC"/>
        </w:rPr>
        <w:t xml:space="preserve">por 145 días, </w:t>
      </w:r>
      <w:r w:rsidR="00CA5AB7" w:rsidRPr="00CA5AB7">
        <w:rPr>
          <w:rFonts w:asciiTheme="majorHAnsi" w:hAnsiTheme="majorHAnsi" w:cstheme="majorHAnsi"/>
        </w:rPr>
        <w:t xml:space="preserve">CODIGO </w:t>
      </w:r>
      <w:r w:rsidR="00C22C0D" w:rsidRPr="00C22C0D">
        <w:rPr>
          <w:rFonts w:asciiTheme="majorHAnsi" w:hAnsiTheme="majorHAnsi" w:cstheme="majorHAnsi"/>
          <w:b/>
          <w:bCs/>
        </w:rPr>
        <w:t>RE-FI-09D17MIES-2-23</w:t>
      </w:r>
      <w:r w:rsidR="00CA5AB7" w:rsidRPr="00CA5AB7">
        <w:rPr>
          <w:rFonts w:asciiTheme="majorHAnsi" w:hAnsiTheme="majorHAnsi" w:cstheme="majorHAnsi"/>
          <w:b/>
          <w:bCs/>
        </w:rPr>
        <w:t>,</w:t>
      </w:r>
      <w:r w:rsidR="00CA5AB7" w:rsidRPr="00CA5AB7">
        <w:rPr>
          <w:rFonts w:asciiTheme="majorHAnsi" w:hAnsiTheme="majorHAnsi" w:cstheme="majorHAnsi"/>
          <w:b/>
        </w:rPr>
        <w:t xml:space="preserve"> </w:t>
      </w:r>
      <w:r w:rsidR="00CA5AB7" w:rsidRPr="00CA5AB7">
        <w:rPr>
          <w:rFonts w:asciiTheme="majorHAnsi" w:hAnsiTheme="majorHAnsi" w:cstheme="majorHAnsi"/>
          <w:lang w:eastAsia="es-EC"/>
        </w:rPr>
        <w:t>con</w:t>
      </w:r>
      <w:r w:rsidR="00CA5AB7" w:rsidRPr="00CA5AB7">
        <w:rPr>
          <w:rFonts w:asciiTheme="majorHAnsi" w:hAnsiTheme="majorHAnsi" w:cstheme="majorHAnsi"/>
          <w:b/>
          <w:bCs/>
          <w:lang w:eastAsia="es-EC"/>
        </w:rPr>
        <w:t xml:space="preserve"> código CPC </w:t>
      </w:r>
      <w:r w:rsidR="00CA5AB7" w:rsidRPr="00CA5AB7">
        <w:rPr>
          <w:rFonts w:asciiTheme="majorHAnsi" w:hAnsiTheme="majorHAnsi" w:cstheme="majorHAnsi"/>
          <w:i/>
        </w:rPr>
        <w:t>641000023.</w:t>
      </w:r>
    </w:p>
    <w:p w14:paraId="3A17228E" w14:textId="77777777" w:rsidR="00CA5AB7" w:rsidRPr="00CA5AB7" w:rsidRDefault="00CA5AB7" w:rsidP="000678E9">
      <w:pPr>
        <w:jc w:val="both"/>
        <w:rPr>
          <w:rFonts w:asciiTheme="majorHAnsi" w:hAnsiTheme="majorHAnsi" w:cstheme="majorHAnsi"/>
          <w:b/>
        </w:rPr>
      </w:pPr>
    </w:p>
    <w:p w14:paraId="476390F8" w14:textId="45C83A9C" w:rsidR="008553A7" w:rsidRDefault="008553A7" w:rsidP="000678E9">
      <w:pPr>
        <w:pStyle w:val="Prrafodelista"/>
        <w:numPr>
          <w:ilvl w:val="0"/>
          <w:numId w:val="4"/>
        </w:numPr>
        <w:jc w:val="both"/>
        <w:rPr>
          <w:rFonts w:asciiTheme="majorHAnsi" w:hAnsiTheme="majorHAnsi" w:cstheme="majorHAnsi"/>
          <w:b/>
        </w:rPr>
      </w:pPr>
      <w:r w:rsidRPr="00CA5AB7">
        <w:rPr>
          <w:rFonts w:asciiTheme="majorHAnsi" w:hAnsiTheme="majorHAnsi" w:cstheme="majorHAnsi"/>
          <w:b/>
        </w:rPr>
        <w:t>Personas Naturales o jurídicas, que estén habilitados en el Registro Único de Proveedores RUP, podrán participar en el siguiente orden:</w:t>
      </w:r>
    </w:p>
    <w:p w14:paraId="2D7D59B3" w14:textId="77777777" w:rsidR="00B45798" w:rsidRPr="00CA5AB7" w:rsidRDefault="00B45798" w:rsidP="00B45798">
      <w:pPr>
        <w:pStyle w:val="Prrafodelista"/>
        <w:jc w:val="both"/>
        <w:rPr>
          <w:rFonts w:asciiTheme="majorHAnsi" w:hAnsiTheme="majorHAnsi" w:cstheme="majorHAnsi"/>
          <w:b/>
        </w:rPr>
      </w:pPr>
    </w:p>
    <w:p w14:paraId="7D71A599" w14:textId="2D3391D2"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Productores individuales;</w:t>
      </w:r>
    </w:p>
    <w:p w14:paraId="0BEACBD5" w14:textId="01A0374A"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Organizaciones de economía popular y solidaria: sectores comunitarios, asociativos, cooperativos;</w:t>
      </w:r>
    </w:p>
    <w:p w14:paraId="499A578F" w14:textId="4097EE37"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Unidades económicas populares;</w:t>
      </w:r>
    </w:p>
    <w:p w14:paraId="40D9AE28" w14:textId="25D97040"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Agricultura familiar y campesina;</w:t>
      </w:r>
    </w:p>
    <w:p w14:paraId="359D2E02" w14:textId="40F2E220"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Actores artísticos y culturales;</w:t>
      </w:r>
    </w:p>
    <w:p w14:paraId="69FAD7D8" w14:textId="0A888A3E"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Artesanos; y,</w:t>
      </w:r>
    </w:p>
    <w:p w14:paraId="20E41620" w14:textId="4E96A62A" w:rsidR="008553A7" w:rsidRPr="00CA5AB7"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CA5AB7">
        <w:rPr>
          <w:rFonts w:asciiTheme="majorHAnsi" w:eastAsia="Arial Narrow" w:hAnsiTheme="majorHAnsi" w:cstheme="majorHAnsi"/>
          <w:lang w:val="es-EC" w:eastAsia="es-EC" w:bidi="es-EC"/>
        </w:rPr>
        <w:t>Micro y pequeñas unidades productivas.</w:t>
      </w:r>
    </w:p>
    <w:p w14:paraId="04716F34" w14:textId="19EF4C68" w:rsidR="008553A7" w:rsidRPr="00CA5AB7" w:rsidRDefault="008553A7" w:rsidP="000678E9">
      <w:pPr>
        <w:pStyle w:val="Prrafodelista"/>
        <w:widowControl w:val="0"/>
        <w:tabs>
          <w:tab w:val="left" w:pos="1903"/>
          <w:tab w:val="left" w:pos="1904"/>
        </w:tabs>
        <w:autoSpaceDE w:val="0"/>
        <w:autoSpaceDN w:val="0"/>
        <w:spacing w:before="14" w:after="0"/>
        <w:ind w:left="1068"/>
        <w:jc w:val="both"/>
        <w:rPr>
          <w:rFonts w:asciiTheme="majorHAnsi" w:eastAsia="Arial Narrow" w:hAnsiTheme="majorHAnsi" w:cstheme="majorHAnsi"/>
          <w:lang w:val="es-EC" w:eastAsia="es-EC" w:bidi="es-EC"/>
        </w:rPr>
      </w:pPr>
    </w:p>
    <w:p w14:paraId="0B6FC156" w14:textId="7E188D0D" w:rsidR="008553A7" w:rsidRPr="00CA5AB7" w:rsidRDefault="008553A7" w:rsidP="000678E9">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lang w:val="es-EC" w:eastAsia="es-EC" w:bidi="es-EC"/>
        </w:rPr>
      </w:pPr>
      <w:r w:rsidRPr="00CA5AB7">
        <w:rPr>
          <w:rFonts w:asciiTheme="majorHAnsi" w:eastAsia="Arial Narrow" w:hAnsiTheme="majorHAnsi" w:cstheme="majorHAnsi"/>
          <w:b/>
          <w:lang w:val="es-EC" w:eastAsia="es-EC" w:bidi="es-EC"/>
        </w:rPr>
        <w:t>Presupuesto referencial y certificación de partida presupuestaria:</w:t>
      </w:r>
    </w:p>
    <w:p w14:paraId="0EE81CF1" w14:textId="77777777" w:rsidR="00CA5AB7" w:rsidRPr="00CA5AB7" w:rsidRDefault="00CA5AB7" w:rsidP="00CA5AB7">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p>
    <w:p w14:paraId="0B3ADE31" w14:textId="18B24BC0" w:rsidR="008553A7" w:rsidRPr="00CA5AB7" w:rsidRDefault="008553A7" w:rsidP="00CA5AB7">
      <w:pPr>
        <w:spacing w:after="0"/>
        <w:ind w:left="360"/>
        <w:jc w:val="both"/>
        <w:rPr>
          <w:rFonts w:asciiTheme="majorHAnsi" w:eastAsia="SimSun" w:hAnsiTheme="majorHAnsi" w:cstheme="majorHAnsi"/>
          <w:b/>
        </w:rPr>
      </w:pPr>
      <w:r w:rsidRPr="00CA5AB7">
        <w:rPr>
          <w:rFonts w:asciiTheme="majorHAnsi" w:eastAsia="Arial Narrow" w:hAnsiTheme="majorHAnsi" w:cstheme="majorHAnsi"/>
          <w:lang w:val="es-EC" w:eastAsia="es-EC" w:bidi="es-EC"/>
        </w:rPr>
        <w:t xml:space="preserve">Para llevar a cabo la contratación se cuenta con un presupuesto referencial de </w:t>
      </w:r>
      <w:r w:rsidR="00820C55" w:rsidRPr="00CA5AB7">
        <w:rPr>
          <w:rFonts w:asciiTheme="majorHAnsi" w:eastAsia="Arial Narrow" w:hAnsiTheme="majorHAnsi" w:cstheme="majorHAnsi"/>
          <w:lang w:val="es-EC" w:eastAsia="es-EC" w:bidi="es-EC"/>
        </w:rPr>
        <w:t xml:space="preserve">$ </w:t>
      </w:r>
      <w:r w:rsidR="00CA5AB7" w:rsidRPr="008F19B8">
        <w:rPr>
          <w:rFonts w:asciiTheme="majorHAnsi" w:eastAsia="SimSun" w:hAnsiTheme="majorHAnsi" w:cstheme="majorHAnsi"/>
        </w:rPr>
        <w:t>10,344.30</w:t>
      </w:r>
      <w:r w:rsidR="00CA5AB7">
        <w:rPr>
          <w:rFonts w:asciiTheme="majorHAnsi" w:hAnsiTheme="majorHAnsi" w:cstheme="majorHAnsi"/>
        </w:rPr>
        <w:t xml:space="preserve"> (</w:t>
      </w:r>
      <w:r w:rsidR="00CA5AB7" w:rsidRPr="008F19B8">
        <w:rPr>
          <w:rFonts w:asciiTheme="majorHAnsi" w:hAnsiTheme="majorHAnsi" w:cstheme="majorHAnsi"/>
        </w:rPr>
        <w:t xml:space="preserve">diez mil trecientos cuarenta y cuatro con 30/100) dólares americanos, valor </w:t>
      </w:r>
      <w:r w:rsidR="00CA5AB7" w:rsidRPr="008F19B8">
        <w:rPr>
          <w:rFonts w:asciiTheme="majorHAnsi" w:eastAsia="SimSun" w:hAnsiTheme="majorHAnsi" w:cstheme="majorHAnsi"/>
        </w:rPr>
        <w:t xml:space="preserve">con tarifa IVA del 0%. </w:t>
      </w:r>
      <w:r w:rsidR="006A4F47" w:rsidRPr="00CA5AB7">
        <w:rPr>
          <w:rFonts w:asciiTheme="majorHAnsi" w:eastAsia="Arial Narrow" w:hAnsiTheme="majorHAnsi" w:cstheme="majorHAnsi"/>
          <w:lang w:val="es-EC" w:eastAsia="es-EC" w:bidi="es-EC"/>
        </w:rPr>
        <w:t xml:space="preserve">con número de partida presupuestaria </w:t>
      </w:r>
      <w:r w:rsidR="00CA5AB7" w:rsidRPr="00CA5AB7">
        <w:rPr>
          <w:rFonts w:asciiTheme="majorHAnsi" w:eastAsia="Arial Narrow" w:hAnsiTheme="majorHAnsi" w:cstheme="majorHAnsi"/>
          <w:b/>
          <w:bCs/>
          <w:lang w:val="es-EC" w:eastAsia="es-EC" w:bidi="es-EC"/>
        </w:rPr>
        <w:t>Nro.</w:t>
      </w:r>
      <w:r w:rsidR="00CA5AB7" w:rsidRPr="00CA5AB7">
        <w:rPr>
          <w:rFonts w:asciiTheme="majorHAnsi" w:eastAsia="Times New Roman" w:hAnsiTheme="majorHAnsi" w:cstheme="majorHAnsi"/>
          <w:b/>
          <w:lang w:eastAsia="es-ES"/>
        </w:rPr>
        <w:t>113</w:t>
      </w:r>
      <w:r w:rsidR="00CA5AB7">
        <w:rPr>
          <w:rFonts w:asciiTheme="majorHAnsi" w:eastAsia="Times New Roman" w:hAnsiTheme="majorHAnsi" w:cstheme="majorHAnsi"/>
          <w:b/>
          <w:lang w:eastAsia="es-ES"/>
        </w:rPr>
        <w:t>.</w:t>
      </w:r>
    </w:p>
    <w:p w14:paraId="098C33F9" w14:textId="62B28D41" w:rsidR="006A4F47" w:rsidRPr="00CA5AB7" w:rsidRDefault="006A4F47" w:rsidP="000678E9">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p>
    <w:p w14:paraId="76E1E07C" w14:textId="19F7207D" w:rsidR="006A4F47" w:rsidRPr="00CA5AB7" w:rsidRDefault="006A4F47" w:rsidP="000678E9">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r w:rsidRPr="00CA5AB7">
        <w:rPr>
          <w:rFonts w:asciiTheme="majorHAnsi" w:eastAsia="Arial Narrow" w:hAnsiTheme="majorHAnsi" w:cstheme="majorHAnsi"/>
          <w:b/>
          <w:bCs/>
          <w:lang w:val="es-EC" w:eastAsia="es-EC" w:bidi="es-EC"/>
        </w:rPr>
        <w:t>Precio unitario al que se deberán adherirse el o los oferentes:</w:t>
      </w:r>
    </w:p>
    <w:p w14:paraId="2F63B335" w14:textId="77777777" w:rsidR="00436DC2" w:rsidRDefault="00436DC2" w:rsidP="00436DC2">
      <w:pPr>
        <w:widowControl w:val="0"/>
        <w:tabs>
          <w:tab w:val="left" w:pos="1903"/>
          <w:tab w:val="left" w:pos="1904"/>
        </w:tabs>
        <w:autoSpaceDE w:val="0"/>
        <w:autoSpaceDN w:val="0"/>
        <w:spacing w:before="14" w:after="0"/>
        <w:ind w:left="360"/>
        <w:jc w:val="both"/>
        <w:rPr>
          <w:rFonts w:asciiTheme="majorHAnsi" w:eastAsia="Arial Narrow" w:hAnsiTheme="majorHAnsi" w:cstheme="majorHAnsi"/>
          <w:lang w:val="es-EC" w:eastAsia="es-EC" w:bidi="es-EC"/>
        </w:rPr>
      </w:pPr>
    </w:p>
    <w:p w14:paraId="38A6084B" w14:textId="18487957" w:rsidR="006A4F47" w:rsidRPr="00436DC2" w:rsidRDefault="006A4F47" w:rsidP="00436DC2">
      <w:pPr>
        <w:widowControl w:val="0"/>
        <w:tabs>
          <w:tab w:val="left" w:pos="1903"/>
          <w:tab w:val="left" w:pos="1904"/>
        </w:tabs>
        <w:autoSpaceDE w:val="0"/>
        <w:autoSpaceDN w:val="0"/>
        <w:spacing w:before="14" w:after="0"/>
        <w:ind w:left="360"/>
        <w:jc w:val="both"/>
        <w:rPr>
          <w:rFonts w:asciiTheme="majorHAnsi" w:eastAsia="Arial Narrow" w:hAnsiTheme="majorHAnsi" w:cstheme="majorHAnsi"/>
          <w:lang w:val="es-EC" w:eastAsia="es-EC" w:bidi="es-EC"/>
        </w:rPr>
      </w:pPr>
      <w:r w:rsidRPr="00436DC2">
        <w:rPr>
          <w:rFonts w:asciiTheme="majorHAnsi" w:eastAsia="Arial Narrow" w:hAnsiTheme="majorHAnsi" w:cstheme="majorHAnsi"/>
          <w:lang w:val="es-EC" w:eastAsia="es-EC" w:bidi="es-EC"/>
        </w:rPr>
        <w:t>En base al estudio de mercado realizado, el precio unitario al que se deberán adherir es de</w:t>
      </w:r>
      <w:r w:rsidRPr="00436DC2">
        <w:rPr>
          <w:rFonts w:asciiTheme="majorHAnsi" w:eastAsia="Arial Narrow" w:hAnsiTheme="majorHAnsi" w:cstheme="majorHAnsi"/>
          <w:b/>
          <w:bCs/>
          <w:lang w:val="es-EC" w:eastAsia="es-EC" w:bidi="es-EC"/>
        </w:rPr>
        <w:t xml:space="preserve"> </w:t>
      </w:r>
      <w:r w:rsidR="00CA5AB7" w:rsidRPr="00436DC2">
        <w:rPr>
          <w:rFonts w:asciiTheme="majorHAnsi" w:eastAsia="Arial Narrow" w:hAnsiTheme="majorHAnsi" w:cstheme="majorHAnsi"/>
          <w:b/>
          <w:bCs/>
          <w:lang w:val="es-EC" w:eastAsia="es-EC" w:bidi="es-EC"/>
        </w:rPr>
        <w:t>$71.34.</w:t>
      </w:r>
    </w:p>
    <w:p w14:paraId="4FF7B66B" w14:textId="77777777" w:rsidR="003D6505" w:rsidRPr="00CA5AB7" w:rsidRDefault="003D6505" w:rsidP="000678E9">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p>
    <w:p w14:paraId="182E3128" w14:textId="23C72D9F" w:rsidR="008553A7" w:rsidRDefault="003D6505" w:rsidP="000678E9">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r w:rsidRPr="00CA5AB7">
        <w:rPr>
          <w:rFonts w:asciiTheme="majorHAnsi" w:eastAsia="Arial Narrow" w:hAnsiTheme="majorHAnsi" w:cstheme="majorHAnsi"/>
          <w:b/>
          <w:bCs/>
          <w:lang w:val="es-EC" w:eastAsia="es-EC" w:bidi="es-EC"/>
        </w:rPr>
        <w:t>Plazo de entrega del servicio y forma de pago:</w:t>
      </w:r>
    </w:p>
    <w:p w14:paraId="2B2DF12C" w14:textId="77777777" w:rsidR="00CA5AB7" w:rsidRDefault="00CA5AB7" w:rsidP="00CA5AB7">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p>
    <w:p w14:paraId="0BAF0B56" w14:textId="77777777" w:rsidR="00CA5AB7" w:rsidRPr="008F19B8" w:rsidRDefault="00CA5AB7" w:rsidP="00CA5AB7">
      <w:pPr>
        <w:pStyle w:val="Textoindependiente"/>
        <w:spacing w:after="120" w:line="276" w:lineRule="auto"/>
        <w:jc w:val="both"/>
        <w:rPr>
          <w:rFonts w:asciiTheme="majorHAnsi" w:hAnsiTheme="majorHAnsi" w:cstheme="majorHAnsi"/>
          <w:sz w:val="24"/>
          <w:szCs w:val="24"/>
        </w:rPr>
      </w:pPr>
      <w:r w:rsidRPr="008F19B8">
        <w:rPr>
          <w:rFonts w:asciiTheme="majorHAnsi" w:hAnsiTheme="majorHAnsi" w:cstheme="majorHAnsi"/>
          <w:sz w:val="24"/>
          <w:szCs w:val="24"/>
        </w:rPr>
        <w:t xml:space="preserve">El plazo de ejecución de servicio se establece acorde al siguiente cronograma por el lapso de 145 días contado a partir del siguiente día de la suscripción del contrato. </w:t>
      </w:r>
    </w:p>
    <w:p w14:paraId="7539852C" w14:textId="6C768BAA" w:rsidR="00CA5AB7" w:rsidRDefault="00CA5AB7" w:rsidP="00CA5AB7">
      <w:pPr>
        <w:pStyle w:val="Textoindependiente"/>
        <w:spacing w:after="120" w:line="276" w:lineRule="auto"/>
        <w:jc w:val="both"/>
        <w:rPr>
          <w:rFonts w:asciiTheme="majorHAnsi" w:hAnsiTheme="majorHAnsi" w:cstheme="majorHAnsi"/>
          <w:sz w:val="24"/>
          <w:szCs w:val="24"/>
        </w:rPr>
      </w:pPr>
      <w:r w:rsidRPr="008F19B8">
        <w:rPr>
          <w:rFonts w:asciiTheme="majorHAnsi" w:hAnsiTheme="majorHAnsi" w:cstheme="majorHAnsi"/>
          <w:sz w:val="24"/>
          <w:szCs w:val="24"/>
        </w:rPr>
        <w:lastRenderedPageBreak/>
        <w:t>El cronograma podría variar en caso de existir alguna necesidad institucional o catástrofe natural, lo cual será comunicado por el administrador de contrato.</w:t>
      </w:r>
    </w:p>
    <w:p w14:paraId="0A053DEF" w14:textId="0BB50217" w:rsidR="00CA5AB7" w:rsidRPr="008F19B8" w:rsidRDefault="00CA5AB7" w:rsidP="00CA5AB7">
      <w:pPr>
        <w:pStyle w:val="Textoindependiente"/>
        <w:spacing w:line="276" w:lineRule="auto"/>
        <w:jc w:val="both"/>
        <w:rPr>
          <w:rFonts w:asciiTheme="majorHAnsi" w:eastAsia="Arial" w:hAnsiTheme="majorHAnsi" w:cstheme="majorHAnsi"/>
          <w:sz w:val="24"/>
          <w:szCs w:val="24"/>
        </w:rPr>
      </w:pPr>
      <w:r w:rsidRPr="008F19B8">
        <w:rPr>
          <w:rFonts w:asciiTheme="majorHAnsi" w:eastAsia="Arial" w:hAnsiTheme="majorHAnsi" w:cstheme="majorHAnsi"/>
          <w:sz w:val="24"/>
          <w:szCs w:val="24"/>
        </w:rPr>
        <w:t xml:space="preserve">El valor del servicio se cancelará en marco de monto del contrato, servicio que no graba IVA, mismo que se pagará de manera mensual contra entrega </w:t>
      </w:r>
      <w:r w:rsidRPr="008F19B8">
        <w:rPr>
          <w:rFonts w:asciiTheme="majorHAnsi" w:eastAsia="Arial" w:hAnsiTheme="majorHAnsi" w:cstheme="majorHAnsi"/>
          <w:b/>
          <w:sz w:val="24"/>
          <w:szCs w:val="24"/>
          <w:u w:val="single"/>
        </w:rPr>
        <w:t>efectiva</w:t>
      </w:r>
      <w:r w:rsidRPr="008F19B8">
        <w:rPr>
          <w:rFonts w:asciiTheme="majorHAnsi" w:eastAsia="Arial" w:hAnsiTheme="majorHAnsi" w:cstheme="majorHAnsi"/>
          <w:sz w:val="24"/>
          <w:szCs w:val="24"/>
        </w:rPr>
        <w:t xml:space="preserve"> de los servicios objeto de la contratación y previa suscripción de las actas de entrega,</w:t>
      </w:r>
      <w:r w:rsidRPr="008F19B8">
        <w:rPr>
          <w:rFonts w:asciiTheme="majorHAnsi" w:eastAsia="Arial" w:hAnsiTheme="majorHAnsi" w:cstheme="majorHAnsi"/>
          <w:b/>
          <w:i/>
          <w:sz w:val="24"/>
          <w:szCs w:val="24"/>
        </w:rPr>
        <w:t xml:space="preserve"> </w:t>
      </w:r>
      <w:r w:rsidRPr="008F19B8">
        <w:rPr>
          <w:rFonts w:asciiTheme="majorHAnsi" w:eastAsia="Arial" w:hAnsiTheme="majorHAnsi" w:cstheme="majorHAnsi"/>
          <w:sz w:val="24"/>
          <w:szCs w:val="24"/>
        </w:rPr>
        <w:t>recepciones parciales, la prestación de la respectiva factura, el informe de conformidad y detalle de multas o sanciones del ser el caso por parte del Administrador del Contrato.</w:t>
      </w:r>
    </w:p>
    <w:p w14:paraId="1D717468" w14:textId="63F99938" w:rsidR="00AB7C8B" w:rsidRPr="00B45798" w:rsidRDefault="00AB7C8B" w:rsidP="00B45798">
      <w:pPr>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p>
    <w:p w14:paraId="59E6396C" w14:textId="702F43B3" w:rsidR="00936C24"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r w:rsidRPr="00CA5AB7">
        <w:rPr>
          <w:rFonts w:asciiTheme="majorHAnsi" w:eastAsia="Arial Narrow" w:hAnsiTheme="majorHAnsi" w:cstheme="majorHAnsi"/>
          <w:b/>
          <w:bCs/>
          <w:lang w:val="es-EC" w:eastAsia="es-EC" w:bidi="es-EC"/>
        </w:rPr>
        <w:t>Cronograma del procedimiento, con las fechas límite para cada etapa</w:t>
      </w:r>
    </w:p>
    <w:p w14:paraId="60451519" w14:textId="77777777" w:rsidR="00B45798" w:rsidRPr="00CA5AB7" w:rsidRDefault="00B45798" w:rsidP="00B45798">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8"/>
        <w:gridCol w:w="1326"/>
        <w:gridCol w:w="1177"/>
      </w:tblGrid>
      <w:tr w:rsidR="00C22C0D" w14:paraId="07FDA8B4" w14:textId="77777777" w:rsidTr="00E47A80">
        <w:trPr>
          <w:trHeight w:val="273"/>
          <w:jc w:val="center"/>
        </w:trPr>
        <w:tc>
          <w:tcPr>
            <w:tcW w:w="6468" w:type="dxa"/>
            <w:vAlign w:val="center"/>
          </w:tcPr>
          <w:p w14:paraId="0E29927F" w14:textId="77777777" w:rsidR="00C22C0D" w:rsidRDefault="00C22C0D" w:rsidP="00E47A80">
            <w:pPr>
              <w:pStyle w:val="TableParagraph"/>
              <w:spacing w:before="18"/>
              <w:ind w:left="2884"/>
              <w:rPr>
                <w:rFonts w:ascii="Times New Roman"/>
                <w:sz w:val="20"/>
              </w:rPr>
            </w:pPr>
            <w:r w:rsidRPr="004A46CE">
              <w:rPr>
                <w:b/>
                <w:sz w:val="20"/>
              </w:rPr>
              <w:t>Etapa</w:t>
            </w:r>
          </w:p>
        </w:tc>
        <w:tc>
          <w:tcPr>
            <w:tcW w:w="1326" w:type="dxa"/>
            <w:vAlign w:val="center"/>
          </w:tcPr>
          <w:p w14:paraId="6BE5C28A" w14:textId="77777777" w:rsidR="00C22C0D" w:rsidRDefault="00C22C0D" w:rsidP="00E47A80">
            <w:pPr>
              <w:pStyle w:val="TableParagraph"/>
              <w:spacing w:before="18"/>
              <w:ind w:left="374"/>
              <w:jc w:val="center"/>
              <w:rPr>
                <w:b/>
                <w:sz w:val="20"/>
              </w:rPr>
            </w:pPr>
            <w:r>
              <w:rPr>
                <w:b/>
                <w:sz w:val="20"/>
              </w:rPr>
              <w:t>Fecha</w:t>
            </w:r>
          </w:p>
        </w:tc>
        <w:tc>
          <w:tcPr>
            <w:tcW w:w="1177" w:type="dxa"/>
            <w:vAlign w:val="center"/>
          </w:tcPr>
          <w:p w14:paraId="68650F02" w14:textId="77777777" w:rsidR="00C22C0D" w:rsidRDefault="00C22C0D" w:rsidP="00E47A80">
            <w:pPr>
              <w:pStyle w:val="TableParagraph"/>
              <w:spacing w:before="18"/>
              <w:ind w:left="354"/>
              <w:jc w:val="center"/>
              <w:rPr>
                <w:b/>
                <w:sz w:val="20"/>
              </w:rPr>
            </w:pPr>
            <w:r>
              <w:rPr>
                <w:b/>
                <w:sz w:val="20"/>
              </w:rPr>
              <w:t>Hora</w:t>
            </w:r>
          </w:p>
        </w:tc>
      </w:tr>
      <w:tr w:rsidR="00C22C0D" w14:paraId="7CB1F59C" w14:textId="77777777" w:rsidTr="00E47A80">
        <w:trPr>
          <w:trHeight w:val="273"/>
          <w:jc w:val="center"/>
        </w:trPr>
        <w:tc>
          <w:tcPr>
            <w:tcW w:w="6468" w:type="dxa"/>
            <w:vAlign w:val="center"/>
          </w:tcPr>
          <w:p w14:paraId="293DC73A" w14:textId="77777777" w:rsidR="00C22C0D" w:rsidRDefault="00C22C0D" w:rsidP="00E47A80">
            <w:pPr>
              <w:pStyle w:val="TableParagraph"/>
              <w:spacing w:line="224" w:lineRule="exact"/>
              <w:ind w:left="110"/>
              <w:jc w:val="center"/>
              <w:rPr>
                <w:sz w:val="20"/>
              </w:rPr>
            </w:pPr>
            <w:r>
              <w:rPr>
                <w:sz w:val="20"/>
              </w:rPr>
              <w:t>Fecha de Publicación y Convocatoria.</w:t>
            </w:r>
          </w:p>
        </w:tc>
        <w:tc>
          <w:tcPr>
            <w:tcW w:w="2503" w:type="dxa"/>
            <w:gridSpan w:val="2"/>
            <w:vAlign w:val="center"/>
          </w:tcPr>
          <w:p w14:paraId="4210BAA3" w14:textId="77777777" w:rsidR="00C22C0D" w:rsidRPr="008466DB" w:rsidRDefault="00C22C0D" w:rsidP="00E47A80">
            <w:pPr>
              <w:pStyle w:val="TableParagraph"/>
              <w:spacing w:before="4" w:line="240" w:lineRule="exact"/>
              <w:ind w:left="110" w:right="20"/>
              <w:jc w:val="center"/>
              <w:rPr>
                <w:sz w:val="20"/>
              </w:rPr>
            </w:pPr>
          </w:p>
          <w:p w14:paraId="16D4CC65" w14:textId="77777777" w:rsidR="00C22C0D" w:rsidRPr="008466DB" w:rsidRDefault="00C22C0D" w:rsidP="00E47A80">
            <w:pPr>
              <w:pStyle w:val="TableParagraph"/>
              <w:spacing w:before="4" w:line="240" w:lineRule="exact"/>
              <w:ind w:left="110" w:right="20"/>
              <w:jc w:val="center"/>
              <w:rPr>
                <w:sz w:val="20"/>
              </w:rPr>
            </w:pPr>
            <w:r>
              <w:rPr>
                <w:sz w:val="20"/>
              </w:rPr>
              <w:t>19</w:t>
            </w:r>
            <w:r w:rsidRPr="008466DB">
              <w:rPr>
                <w:sz w:val="20"/>
              </w:rPr>
              <w:t>-</w:t>
            </w:r>
            <w:r>
              <w:rPr>
                <w:sz w:val="20"/>
              </w:rPr>
              <w:t>may</w:t>
            </w:r>
            <w:r w:rsidRPr="008466DB">
              <w:rPr>
                <w:sz w:val="20"/>
              </w:rPr>
              <w:t>-2023</w:t>
            </w:r>
            <w:r>
              <w:rPr>
                <w:sz w:val="20"/>
              </w:rPr>
              <w:t xml:space="preserve"> – 12:30 PM</w:t>
            </w:r>
          </w:p>
        </w:tc>
      </w:tr>
      <w:tr w:rsidR="00C22C0D" w14:paraId="7FFFF7C4" w14:textId="77777777" w:rsidTr="00E47A80">
        <w:trPr>
          <w:trHeight w:val="493"/>
          <w:jc w:val="center"/>
        </w:trPr>
        <w:tc>
          <w:tcPr>
            <w:tcW w:w="6468" w:type="dxa"/>
            <w:vAlign w:val="center"/>
          </w:tcPr>
          <w:p w14:paraId="52286758" w14:textId="77777777" w:rsidR="00C22C0D" w:rsidRDefault="00C22C0D" w:rsidP="00E47A80">
            <w:pPr>
              <w:pStyle w:val="TableParagraph"/>
              <w:spacing w:line="224" w:lineRule="exact"/>
              <w:ind w:left="110"/>
              <w:jc w:val="center"/>
              <w:rPr>
                <w:sz w:val="20"/>
              </w:rPr>
            </w:pPr>
            <w:r>
              <w:rPr>
                <w:sz w:val="20"/>
              </w:rPr>
              <w:t>Fecha de Audiencia de Preguntas y Aclaratorias.</w:t>
            </w:r>
          </w:p>
        </w:tc>
        <w:tc>
          <w:tcPr>
            <w:tcW w:w="2503" w:type="dxa"/>
            <w:gridSpan w:val="2"/>
            <w:tcBorders>
              <w:top w:val="nil"/>
            </w:tcBorders>
            <w:vAlign w:val="center"/>
          </w:tcPr>
          <w:p w14:paraId="7311769A" w14:textId="77777777" w:rsidR="00C22C0D" w:rsidRPr="008466DB" w:rsidRDefault="00C22C0D" w:rsidP="00E47A80">
            <w:pPr>
              <w:pStyle w:val="TableParagraph"/>
              <w:spacing w:before="4" w:line="240" w:lineRule="exact"/>
              <w:ind w:left="110" w:right="20"/>
              <w:jc w:val="center"/>
              <w:rPr>
                <w:sz w:val="20"/>
              </w:rPr>
            </w:pPr>
            <w:r>
              <w:rPr>
                <w:sz w:val="20"/>
              </w:rPr>
              <w:t>24</w:t>
            </w:r>
            <w:r w:rsidRPr="008466DB">
              <w:rPr>
                <w:sz w:val="20"/>
              </w:rPr>
              <w:t>-</w:t>
            </w:r>
            <w:r>
              <w:rPr>
                <w:sz w:val="20"/>
              </w:rPr>
              <w:t>may</w:t>
            </w:r>
            <w:r w:rsidRPr="008466DB">
              <w:rPr>
                <w:sz w:val="20"/>
              </w:rPr>
              <w:t>-2023</w:t>
            </w:r>
            <w:r>
              <w:rPr>
                <w:sz w:val="20"/>
              </w:rPr>
              <w:t xml:space="preserve"> – 16:30 PM</w:t>
            </w:r>
          </w:p>
        </w:tc>
      </w:tr>
      <w:tr w:rsidR="00C22C0D" w14:paraId="7C97D933" w14:textId="77777777" w:rsidTr="00E47A80">
        <w:trPr>
          <w:trHeight w:val="489"/>
          <w:jc w:val="center"/>
        </w:trPr>
        <w:tc>
          <w:tcPr>
            <w:tcW w:w="6468" w:type="dxa"/>
            <w:vAlign w:val="center"/>
          </w:tcPr>
          <w:p w14:paraId="19D103EE" w14:textId="77777777" w:rsidR="00C22C0D" w:rsidRDefault="00C22C0D" w:rsidP="00E47A80">
            <w:pPr>
              <w:pStyle w:val="TableParagraph"/>
              <w:spacing w:before="4" w:line="240" w:lineRule="exact"/>
              <w:ind w:left="110" w:right="20"/>
              <w:jc w:val="center"/>
              <w:rPr>
                <w:sz w:val="20"/>
              </w:rPr>
            </w:pPr>
            <w:r>
              <w:rPr>
                <w:sz w:val="20"/>
              </w:rPr>
              <w:t>Fecha límite para la adhesión a las especificaciones técnicas o términos de referencia y condiciones económicas</w:t>
            </w:r>
          </w:p>
        </w:tc>
        <w:tc>
          <w:tcPr>
            <w:tcW w:w="2503" w:type="dxa"/>
            <w:gridSpan w:val="2"/>
            <w:tcBorders>
              <w:top w:val="nil"/>
            </w:tcBorders>
            <w:vAlign w:val="center"/>
          </w:tcPr>
          <w:p w14:paraId="02908054" w14:textId="77777777" w:rsidR="00C22C0D" w:rsidRPr="008466DB" w:rsidRDefault="00C22C0D" w:rsidP="00E47A80">
            <w:pPr>
              <w:pStyle w:val="TableParagraph"/>
              <w:spacing w:before="4" w:line="240" w:lineRule="exact"/>
              <w:ind w:left="110" w:right="20"/>
              <w:jc w:val="center"/>
              <w:rPr>
                <w:sz w:val="20"/>
              </w:rPr>
            </w:pPr>
            <w:r>
              <w:rPr>
                <w:sz w:val="20"/>
              </w:rPr>
              <w:t>30</w:t>
            </w:r>
            <w:r w:rsidRPr="008466DB">
              <w:rPr>
                <w:sz w:val="20"/>
              </w:rPr>
              <w:t>-</w:t>
            </w:r>
            <w:r>
              <w:rPr>
                <w:sz w:val="20"/>
              </w:rPr>
              <w:t>may</w:t>
            </w:r>
            <w:r w:rsidRPr="008466DB">
              <w:rPr>
                <w:sz w:val="20"/>
              </w:rPr>
              <w:t>-2023</w:t>
            </w:r>
            <w:r>
              <w:rPr>
                <w:sz w:val="20"/>
              </w:rPr>
              <w:t xml:space="preserve"> – 16:30 PM</w:t>
            </w:r>
          </w:p>
        </w:tc>
      </w:tr>
      <w:tr w:rsidR="00C22C0D" w14:paraId="6042AF05" w14:textId="77777777" w:rsidTr="00E47A80">
        <w:trPr>
          <w:trHeight w:val="489"/>
          <w:jc w:val="center"/>
        </w:trPr>
        <w:tc>
          <w:tcPr>
            <w:tcW w:w="6468" w:type="dxa"/>
            <w:vAlign w:val="center"/>
          </w:tcPr>
          <w:p w14:paraId="68746CB1" w14:textId="77777777" w:rsidR="00C22C0D" w:rsidRDefault="00C22C0D" w:rsidP="00E47A80">
            <w:pPr>
              <w:pStyle w:val="TableParagraph"/>
              <w:spacing w:before="5" w:line="240" w:lineRule="exact"/>
              <w:ind w:left="110"/>
              <w:jc w:val="center"/>
              <w:rPr>
                <w:sz w:val="20"/>
              </w:rPr>
            </w:pPr>
            <w:r>
              <w:rPr>
                <w:sz w:val="20"/>
              </w:rPr>
              <w:t>Fecha límite para la verificación de cumplimiento de requisitos mínimos y solicitar Convalidaciones de errores</w:t>
            </w:r>
          </w:p>
        </w:tc>
        <w:tc>
          <w:tcPr>
            <w:tcW w:w="2503" w:type="dxa"/>
            <w:gridSpan w:val="2"/>
            <w:tcBorders>
              <w:top w:val="nil"/>
            </w:tcBorders>
            <w:vAlign w:val="center"/>
          </w:tcPr>
          <w:p w14:paraId="557ABA1C" w14:textId="77777777" w:rsidR="00C22C0D" w:rsidRPr="008466DB" w:rsidRDefault="00C22C0D" w:rsidP="00E47A80">
            <w:pPr>
              <w:pStyle w:val="TableParagraph"/>
              <w:spacing w:before="4" w:line="240" w:lineRule="exact"/>
              <w:ind w:left="110" w:right="20"/>
              <w:jc w:val="center"/>
              <w:rPr>
                <w:sz w:val="20"/>
              </w:rPr>
            </w:pPr>
            <w:r>
              <w:rPr>
                <w:sz w:val="20"/>
              </w:rPr>
              <w:t>31</w:t>
            </w:r>
            <w:r w:rsidRPr="008466DB">
              <w:rPr>
                <w:sz w:val="20"/>
              </w:rPr>
              <w:t>-</w:t>
            </w:r>
            <w:r>
              <w:rPr>
                <w:sz w:val="20"/>
              </w:rPr>
              <w:t>may</w:t>
            </w:r>
            <w:r w:rsidRPr="008466DB">
              <w:rPr>
                <w:sz w:val="20"/>
              </w:rPr>
              <w:t>-2023</w:t>
            </w:r>
            <w:r>
              <w:rPr>
                <w:sz w:val="20"/>
              </w:rPr>
              <w:t xml:space="preserve"> – 16:30 PM</w:t>
            </w:r>
          </w:p>
        </w:tc>
      </w:tr>
      <w:tr w:rsidR="00C22C0D" w14:paraId="1010C7B1" w14:textId="77777777" w:rsidTr="00E47A80">
        <w:trPr>
          <w:trHeight w:val="557"/>
          <w:jc w:val="center"/>
        </w:trPr>
        <w:tc>
          <w:tcPr>
            <w:tcW w:w="6468" w:type="dxa"/>
            <w:vAlign w:val="center"/>
          </w:tcPr>
          <w:p w14:paraId="79412D67" w14:textId="77777777" w:rsidR="00C22C0D" w:rsidRDefault="00C22C0D" w:rsidP="00E47A80">
            <w:pPr>
              <w:pStyle w:val="TableParagraph"/>
              <w:spacing w:line="224" w:lineRule="exact"/>
              <w:ind w:left="110"/>
              <w:jc w:val="center"/>
              <w:rPr>
                <w:sz w:val="20"/>
              </w:rPr>
            </w:pPr>
            <w:r>
              <w:rPr>
                <w:sz w:val="20"/>
              </w:rPr>
              <w:t>Fecha límite respuesta Convalidación de Errores</w:t>
            </w:r>
          </w:p>
        </w:tc>
        <w:tc>
          <w:tcPr>
            <w:tcW w:w="2503" w:type="dxa"/>
            <w:gridSpan w:val="2"/>
            <w:tcBorders>
              <w:top w:val="nil"/>
            </w:tcBorders>
            <w:vAlign w:val="center"/>
          </w:tcPr>
          <w:p w14:paraId="5477B969" w14:textId="77777777" w:rsidR="00C22C0D" w:rsidRPr="008466DB" w:rsidRDefault="00C22C0D" w:rsidP="00E47A80">
            <w:pPr>
              <w:pStyle w:val="TableParagraph"/>
              <w:spacing w:before="4" w:line="240" w:lineRule="exact"/>
              <w:ind w:left="110" w:right="20"/>
              <w:jc w:val="center"/>
              <w:rPr>
                <w:sz w:val="20"/>
              </w:rPr>
            </w:pPr>
            <w:r>
              <w:rPr>
                <w:sz w:val="20"/>
              </w:rPr>
              <w:t>02</w:t>
            </w:r>
            <w:r w:rsidRPr="008466DB">
              <w:rPr>
                <w:sz w:val="20"/>
              </w:rPr>
              <w:t>-</w:t>
            </w:r>
            <w:r>
              <w:rPr>
                <w:sz w:val="20"/>
              </w:rPr>
              <w:t>jun</w:t>
            </w:r>
            <w:r w:rsidRPr="008466DB">
              <w:rPr>
                <w:sz w:val="20"/>
              </w:rPr>
              <w:t>-2023</w:t>
            </w:r>
            <w:r>
              <w:rPr>
                <w:sz w:val="20"/>
              </w:rPr>
              <w:t xml:space="preserve"> – 16:30 PM</w:t>
            </w:r>
          </w:p>
        </w:tc>
      </w:tr>
      <w:tr w:rsidR="00C22C0D" w14:paraId="51AC49AD" w14:textId="77777777" w:rsidTr="00E47A80">
        <w:trPr>
          <w:trHeight w:val="489"/>
          <w:jc w:val="center"/>
        </w:trPr>
        <w:tc>
          <w:tcPr>
            <w:tcW w:w="6468" w:type="dxa"/>
            <w:vAlign w:val="center"/>
          </w:tcPr>
          <w:p w14:paraId="6EC97CE8" w14:textId="77777777" w:rsidR="00C22C0D" w:rsidRDefault="00C22C0D" w:rsidP="00E47A80">
            <w:pPr>
              <w:pStyle w:val="TableParagraph"/>
              <w:spacing w:before="4" w:line="240" w:lineRule="exact"/>
              <w:ind w:left="110"/>
              <w:jc w:val="center"/>
              <w:rPr>
                <w:sz w:val="20"/>
              </w:rPr>
            </w:pPr>
            <w:r>
              <w:rPr>
                <w:sz w:val="20"/>
              </w:rPr>
              <w:t>Fecha Límite para de verificación de Cumplimiento de requisitos Mínimos</w:t>
            </w:r>
          </w:p>
        </w:tc>
        <w:tc>
          <w:tcPr>
            <w:tcW w:w="2503" w:type="dxa"/>
            <w:gridSpan w:val="2"/>
            <w:tcBorders>
              <w:top w:val="nil"/>
            </w:tcBorders>
            <w:vAlign w:val="center"/>
          </w:tcPr>
          <w:p w14:paraId="42C9C58B" w14:textId="77777777" w:rsidR="00C22C0D" w:rsidRPr="008466DB" w:rsidRDefault="00C22C0D" w:rsidP="00E47A80">
            <w:pPr>
              <w:pStyle w:val="TableParagraph"/>
              <w:spacing w:before="4" w:line="240" w:lineRule="exact"/>
              <w:ind w:left="110" w:right="20"/>
              <w:jc w:val="center"/>
              <w:rPr>
                <w:sz w:val="20"/>
              </w:rPr>
            </w:pPr>
            <w:r>
              <w:rPr>
                <w:sz w:val="20"/>
              </w:rPr>
              <w:t>06</w:t>
            </w:r>
            <w:r w:rsidRPr="008466DB">
              <w:rPr>
                <w:sz w:val="20"/>
              </w:rPr>
              <w:t>-</w:t>
            </w:r>
            <w:r>
              <w:rPr>
                <w:sz w:val="20"/>
              </w:rPr>
              <w:t>jun</w:t>
            </w:r>
            <w:r w:rsidRPr="008466DB">
              <w:rPr>
                <w:sz w:val="20"/>
              </w:rPr>
              <w:t>-2023</w:t>
            </w:r>
            <w:r>
              <w:rPr>
                <w:sz w:val="20"/>
              </w:rPr>
              <w:t xml:space="preserve"> – 16:30 PM</w:t>
            </w:r>
          </w:p>
        </w:tc>
      </w:tr>
      <w:tr w:rsidR="00C22C0D" w14:paraId="030AE444" w14:textId="77777777" w:rsidTr="00E47A80">
        <w:trPr>
          <w:trHeight w:val="472"/>
          <w:jc w:val="center"/>
        </w:trPr>
        <w:tc>
          <w:tcPr>
            <w:tcW w:w="6468" w:type="dxa"/>
            <w:vAlign w:val="center"/>
          </w:tcPr>
          <w:p w14:paraId="59934611" w14:textId="77777777" w:rsidR="00C22C0D" w:rsidRDefault="00C22C0D" w:rsidP="00E47A80">
            <w:pPr>
              <w:pStyle w:val="TableParagraph"/>
              <w:spacing w:line="224" w:lineRule="exact"/>
              <w:ind w:left="110"/>
              <w:jc w:val="center"/>
              <w:rPr>
                <w:sz w:val="20"/>
              </w:rPr>
            </w:pPr>
            <w:r>
              <w:rPr>
                <w:sz w:val="20"/>
              </w:rPr>
              <w:t>Fecha de Adjudicación</w:t>
            </w:r>
          </w:p>
        </w:tc>
        <w:tc>
          <w:tcPr>
            <w:tcW w:w="2503" w:type="dxa"/>
            <w:gridSpan w:val="2"/>
            <w:tcBorders>
              <w:top w:val="nil"/>
            </w:tcBorders>
            <w:vAlign w:val="center"/>
          </w:tcPr>
          <w:p w14:paraId="01F3DA50" w14:textId="77777777" w:rsidR="00C22C0D" w:rsidRPr="008466DB" w:rsidRDefault="00C22C0D" w:rsidP="00E47A80">
            <w:pPr>
              <w:pStyle w:val="TableParagraph"/>
              <w:spacing w:before="4" w:line="240" w:lineRule="exact"/>
              <w:ind w:left="110" w:right="20"/>
              <w:jc w:val="center"/>
              <w:rPr>
                <w:sz w:val="20"/>
              </w:rPr>
            </w:pPr>
            <w:r>
              <w:rPr>
                <w:sz w:val="20"/>
              </w:rPr>
              <w:t>08</w:t>
            </w:r>
            <w:r w:rsidRPr="008466DB">
              <w:rPr>
                <w:sz w:val="20"/>
              </w:rPr>
              <w:t>-</w:t>
            </w:r>
            <w:r>
              <w:rPr>
                <w:sz w:val="20"/>
              </w:rPr>
              <w:t>jun</w:t>
            </w:r>
            <w:r w:rsidRPr="008466DB">
              <w:rPr>
                <w:sz w:val="20"/>
              </w:rPr>
              <w:t>-2023</w:t>
            </w:r>
            <w:r>
              <w:rPr>
                <w:sz w:val="20"/>
              </w:rPr>
              <w:t xml:space="preserve"> – 16:30 PM</w:t>
            </w:r>
          </w:p>
        </w:tc>
      </w:tr>
    </w:tbl>
    <w:p w14:paraId="5D221E86" w14:textId="3A12F62B" w:rsidR="00936C24" w:rsidRPr="00CA5AB7" w:rsidRDefault="00936C24" w:rsidP="00820C55">
      <w:pPr>
        <w:widowControl w:val="0"/>
        <w:tabs>
          <w:tab w:val="left" w:pos="1903"/>
          <w:tab w:val="left" w:pos="1904"/>
        </w:tabs>
        <w:autoSpaceDE w:val="0"/>
        <w:autoSpaceDN w:val="0"/>
        <w:spacing w:before="14" w:after="0"/>
        <w:jc w:val="center"/>
        <w:rPr>
          <w:rFonts w:asciiTheme="majorHAnsi" w:eastAsia="Arial Narrow" w:hAnsiTheme="majorHAnsi" w:cstheme="majorHAnsi"/>
          <w:lang w:val="es-EC" w:eastAsia="es-EC" w:bidi="es-EC"/>
        </w:rPr>
      </w:pPr>
    </w:p>
    <w:p w14:paraId="2BC77EE7" w14:textId="3CE6F880" w:rsidR="00B45798" w:rsidRDefault="00AB7C8B" w:rsidP="00B45798">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r w:rsidRPr="00CA5AB7">
        <w:rPr>
          <w:rFonts w:asciiTheme="majorHAnsi" w:eastAsia="Arial Narrow" w:hAnsiTheme="majorHAnsi" w:cstheme="majorHAnsi"/>
          <w:b/>
          <w:bCs/>
          <w:lang w:val="es-EC" w:eastAsia="es-EC" w:bidi="es-EC"/>
        </w:rPr>
        <w:t>Metodología de evaluación de la oferta:</w:t>
      </w:r>
    </w:p>
    <w:p w14:paraId="03D8237D" w14:textId="77777777" w:rsidR="00B45798" w:rsidRPr="00B45798" w:rsidRDefault="00B45798" w:rsidP="00B45798">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p>
    <w:p w14:paraId="2D8D0C39" w14:textId="4628D734" w:rsidR="00B45798" w:rsidRPr="00436DC2" w:rsidRDefault="00AB7C8B" w:rsidP="00436DC2">
      <w:pPr>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r w:rsidRPr="00436DC2">
        <w:rPr>
          <w:rFonts w:asciiTheme="majorHAnsi" w:eastAsia="Arial Narrow" w:hAnsiTheme="majorHAnsi" w:cstheme="majorHAnsi"/>
          <w:lang w:val="es-EC" w:eastAsia="es-EC" w:bidi="es-EC"/>
        </w:rPr>
        <w:t>Se realizará la evaluación y calificación de la oferta atendiendo a los términos de referencia</w:t>
      </w:r>
      <w:r w:rsidR="00820C55" w:rsidRPr="00436DC2">
        <w:rPr>
          <w:rFonts w:asciiTheme="majorHAnsi" w:eastAsia="Arial Narrow" w:hAnsiTheme="majorHAnsi" w:cstheme="majorHAnsi"/>
          <w:lang w:val="es-EC" w:eastAsia="es-EC" w:bidi="es-EC"/>
        </w:rPr>
        <w:t xml:space="preserve"> y requisitos mínimos</w:t>
      </w:r>
      <w:r w:rsidRPr="00436DC2">
        <w:rPr>
          <w:rFonts w:asciiTheme="majorHAnsi" w:eastAsia="Arial Narrow" w:hAnsiTheme="majorHAnsi" w:cstheme="majorHAnsi"/>
          <w:lang w:val="es-EC" w:eastAsia="es-EC" w:bidi="es-EC"/>
        </w:rPr>
        <w:t xml:space="preserve"> según lo previsto en el pliego utilizando para el efecto la metodología de “cumple o no cumple” aquellas ofertas que cumplan integralmente esta metodología serán evaluadas </w:t>
      </w:r>
      <w:proofErr w:type="gramStart"/>
      <w:r w:rsidRPr="00436DC2">
        <w:rPr>
          <w:rFonts w:asciiTheme="majorHAnsi" w:eastAsia="Arial Narrow" w:hAnsiTheme="majorHAnsi" w:cstheme="majorHAnsi"/>
          <w:lang w:val="es-EC" w:eastAsia="es-EC" w:bidi="es-EC"/>
        </w:rPr>
        <w:t>de acuerdo a</w:t>
      </w:r>
      <w:proofErr w:type="gramEnd"/>
      <w:r w:rsidRPr="00436DC2">
        <w:rPr>
          <w:rFonts w:asciiTheme="majorHAnsi" w:eastAsia="Arial Narrow" w:hAnsiTheme="majorHAnsi" w:cstheme="majorHAnsi"/>
          <w:lang w:val="es-EC" w:eastAsia="es-EC" w:bidi="es-EC"/>
        </w:rPr>
        <w:t xml:space="preserve"> los criterios de inclusión</w:t>
      </w:r>
      <w:r w:rsidR="00DB0458" w:rsidRPr="00436DC2">
        <w:rPr>
          <w:rFonts w:asciiTheme="majorHAnsi" w:eastAsia="Arial Narrow" w:hAnsiTheme="majorHAnsi" w:cstheme="majorHAnsi"/>
          <w:lang w:val="es-EC" w:eastAsia="es-EC" w:bidi="es-EC"/>
        </w:rPr>
        <w:t>.</w:t>
      </w:r>
    </w:p>
    <w:p w14:paraId="64F6FEBD" w14:textId="72978647" w:rsidR="00DB0458" w:rsidRPr="00CA5AB7" w:rsidRDefault="00DB0458" w:rsidP="000678E9">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lang w:val="es-EC" w:eastAsia="es-EC" w:bidi="es-EC"/>
        </w:rPr>
      </w:pPr>
    </w:p>
    <w:p w14:paraId="244EF15A" w14:textId="7F39A65F" w:rsidR="00B45798" w:rsidRDefault="00DB0458" w:rsidP="00B45798">
      <w:pPr>
        <w:pStyle w:val="Prrafodelista"/>
        <w:widowControl w:val="0"/>
        <w:numPr>
          <w:ilvl w:val="0"/>
          <w:numId w:val="4"/>
        </w:numPr>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r w:rsidRPr="00CA5AB7">
        <w:rPr>
          <w:rFonts w:asciiTheme="majorHAnsi" w:eastAsia="Arial Narrow" w:hAnsiTheme="majorHAnsi" w:cstheme="majorHAnsi"/>
          <w:b/>
          <w:bCs/>
          <w:lang w:val="es-EC" w:eastAsia="es-EC" w:bidi="es-EC"/>
        </w:rPr>
        <w:t>Garantías contractuales que se exigen de acuerdo con la Ley:</w:t>
      </w:r>
    </w:p>
    <w:p w14:paraId="61B07C1A" w14:textId="77777777" w:rsidR="00B45798" w:rsidRPr="00B45798" w:rsidRDefault="00B45798" w:rsidP="00B45798">
      <w:pPr>
        <w:pStyle w:val="Prrafodelista"/>
        <w:widowControl w:val="0"/>
        <w:tabs>
          <w:tab w:val="left" w:pos="1903"/>
          <w:tab w:val="left" w:pos="1904"/>
        </w:tabs>
        <w:autoSpaceDE w:val="0"/>
        <w:autoSpaceDN w:val="0"/>
        <w:spacing w:before="14" w:after="0"/>
        <w:jc w:val="both"/>
        <w:rPr>
          <w:rFonts w:asciiTheme="majorHAnsi" w:eastAsia="Arial Narrow" w:hAnsiTheme="majorHAnsi" w:cstheme="majorHAnsi"/>
          <w:b/>
          <w:bCs/>
          <w:lang w:val="es-EC" w:eastAsia="es-EC" w:bidi="es-EC"/>
        </w:rPr>
      </w:pPr>
    </w:p>
    <w:p w14:paraId="5CA540E3" w14:textId="248014FD" w:rsidR="00B45798" w:rsidRPr="00B45798" w:rsidRDefault="00B45798" w:rsidP="00B45798">
      <w:pPr>
        <w:jc w:val="both"/>
        <w:rPr>
          <w:rFonts w:asciiTheme="majorHAnsi" w:hAnsiTheme="majorHAnsi" w:cstheme="majorHAnsi"/>
        </w:rPr>
      </w:pPr>
      <w:r w:rsidRPr="00B45798">
        <w:rPr>
          <w:rFonts w:asciiTheme="majorHAnsi" w:hAnsiTheme="majorHAnsi" w:cstheme="majorHAnsi"/>
        </w:rPr>
        <w:t xml:space="preserve">De conformidad al Art. 261 del Reglamento de la LOSNCP, deberá presentar garantía de fiel cumplimiento: Siempre y Cuando la cuantía del contrato al momento de suscribirse sea superior a multiplicar el coeficiente 0.000002 del Presupuesto Inicial del Estado. </w:t>
      </w:r>
    </w:p>
    <w:p w14:paraId="0C9B1A25" w14:textId="59159F9D" w:rsidR="00B45798" w:rsidRPr="00B45798" w:rsidRDefault="00B45798" w:rsidP="00B45798">
      <w:pPr>
        <w:jc w:val="both"/>
        <w:rPr>
          <w:rFonts w:asciiTheme="majorHAnsi" w:hAnsiTheme="majorHAnsi" w:cstheme="majorHAnsi"/>
        </w:rPr>
      </w:pPr>
      <w:r w:rsidRPr="00B45798">
        <w:rPr>
          <w:rFonts w:asciiTheme="majorHAnsi" w:hAnsiTheme="majorHAnsi" w:cstheme="majorHAnsi"/>
        </w:rPr>
        <w:lastRenderedPageBreak/>
        <w:t>Las garantías serán entregadas a través de cualquier forma prevista en el artículo 73 de la Ley Orgánica del Sistema Nacional de Contratación Pública, y serán devueltas conforme lo dispuesto en el artículo 77 de la misma ley.</w:t>
      </w:r>
    </w:p>
    <w:p w14:paraId="221CC247" w14:textId="60B1ED00" w:rsidR="008553A7"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Theme="majorHAnsi" w:hAnsiTheme="majorHAnsi" w:cstheme="majorHAnsi"/>
          <w:b/>
          <w:bCs/>
        </w:rPr>
      </w:pPr>
      <w:r w:rsidRPr="00CA5AB7">
        <w:rPr>
          <w:rFonts w:asciiTheme="majorHAnsi" w:hAnsiTheme="majorHAnsi" w:cstheme="majorHAnsi"/>
          <w:b/>
          <w:bCs/>
        </w:rPr>
        <w:t>Recepción de las ofertas:</w:t>
      </w:r>
    </w:p>
    <w:p w14:paraId="42BCD9DC" w14:textId="77777777" w:rsidR="00436DC2" w:rsidRDefault="00436DC2" w:rsidP="00436DC2">
      <w:pPr>
        <w:pStyle w:val="Textoindependiente"/>
        <w:jc w:val="both"/>
        <w:rPr>
          <w:rFonts w:asciiTheme="majorHAnsi" w:eastAsiaTheme="minorHAnsi" w:hAnsiTheme="majorHAnsi" w:cstheme="majorHAnsi"/>
          <w:b/>
          <w:bCs/>
          <w:sz w:val="24"/>
          <w:szCs w:val="24"/>
          <w:lang w:val="es-ES_tradnl" w:eastAsia="en-US" w:bidi="ar-SA"/>
        </w:rPr>
      </w:pPr>
    </w:p>
    <w:p w14:paraId="2F81B06B" w14:textId="4B3B7323" w:rsidR="00663E28" w:rsidRDefault="00663E28" w:rsidP="00436DC2">
      <w:pPr>
        <w:pStyle w:val="Textoindependiente"/>
        <w:jc w:val="both"/>
        <w:rPr>
          <w:rFonts w:asciiTheme="majorHAnsi" w:hAnsiTheme="majorHAnsi" w:cstheme="majorHAnsi"/>
          <w:sz w:val="24"/>
          <w:szCs w:val="24"/>
        </w:rPr>
      </w:pPr>
      <w:r w:rsidRPr="00CA5AB7">
        <w:rPr>
          <w:rFonts w:asciiTheme="majorHAnsi" w:hAnsiTheme="majorHAnsi" w:cstheme="majorHAnsi"/>
          <w:sz w:val="24"/>
          <w:szCs w:val="24"/>
        </w:rPr>
        <w:t>La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adjunto, se solicita presentar la oferta de manera digital al correo electrónico eduardo.rodriguez@inclusion.gob.ec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21E6B9F7" w14:textId="77777777" w:rsidR="00436DC2" w:rsidRDefault="00436DC2" w:rsidP="00436DC2">
      <w:pPr>
        <w:pStyle w:val="Textoindependiente"/>
        <w:jc w:val="both"/>
        <w:rPr>
          <w:rFonts w:asciiTheme="majorHAnsi" w:hAnsiTheme="majorHAnsi" w:cstheme="majorHAnsi"/>
          <w:sz w:val="24"/>
          <w:szCs w:val="24"/>
        </w:rPr>
      </w:pPr>
    </w:p>
    <w:p w14:paraId="358E6D21" w14:textId="013679AE" w:rsidR="008553A7" w:rsidRPr="00CA5AB7" w:rsidRDefault="00663E28" w:rsidP="00436DC2">
      <w:pPr>
        <w:pStyle w:val="Textoindependiente"/>
        <w:jc w:val="both"/>
        <w:rPr>
          <w:rFonts w:asciiTheme="majorHAnsi" w:hAnsiTheme="majorHAnsi" w:cstheme="majorHAnsi"/>
          <w:sz w:val="24"/>
          <w:szCs w:val="24"/>
        </w:rPr>
      </w:pPr>
      <w:r w:rsidRPr="00CA5AB7">
        <w:rPr>
          <w:rFonts w:asciiTheme="majorHAnsi" w:hAnsiTheme="majorHAnsi" w:cstheme="majorHAnsi"/>
          <w:sz w:val="24"/>
          <w:szCs w:val="24"/>
        </w:rPr>
        <w:t xml:space="preserve">En caso de que supere el tamaño del archivo se sugiere que lo suban a OneDrive o WeTransfer y se genere el respectivo </w:t>
      </w:r>
      <w:proofErr w:type="gramStart"/>
      <w:r w:rsidRPr="00CA5AB7">
        <w:rPr>
          <w:rFonts w:asciiTheme="majorHAnsi" w:hAnsiTheme="majorHAnsi" w:cstheme="majorHAnsi"/>
          <w:sz w:val="24"/>
          <w:szCs w:val="24"/>
        </w:rPr>
        <w:t>link</w:t>
      </w:r>
      <w:proofErr w:type="gramEnd"/>
      <w:r w:rsidRPr="00CA5AB7">
        <w:rPr>
          <w:rFonts w:asciiTheme="majorHAnsi" w:hAnsiTheme="majorHAnsi" w:cstheme="majorHAnsi"/>
          <w:sz w:val="24"/>
          <w:szCs w:val="24"/>
        </w:rPr>
        <w:t>; mismo que debe ser remitido al correo eduardo.rodriguez</w:t>
      </w:r>
      <w:r w:rsidR="00EF49EA">
        <w:rPr>
          <w:rFonts w:asciiTheme="majorHAnsi" w:hAnsiTheme="majorHAnsi" w:cstheme="majorHAnsi"/>
          <w:sz w:val="24"/>
          <w:szCs w:val="24"/>
        </w:rPr>
        <w:t>@inclusion.gob.ec</w:t>
      </w:r>
      <w:r w:rsidRPr="00CA5AB7">
        <w:rPr>
          <w:rFonts w:asciiTheme="majorHAnsi" w:hAnsiTheme="majorHAnsi" w:cstheme="majorHAnsi"/>
          <w:sz w:val="24"/>
          <w:szCs w:val="24"/>
        </w:rPr>
        <w:t xml:space="preserve"> Los participantes no podrán, bajo concepto alguno, ceder los derechos y obligaciones derivados de este proceso y del contrato respectivo.</w:t>
      </w:r>
    </w:p>
    <w:sectPr w:rsidR="008553A7" w:rsidRPr="00CA5AB7" w:rsidSect="002F5DA3">
      <w:headerReference w:type="default" r:id="rId7"/>
      <w:footerReference w:type="default" r:id="rId8"/>
      <w:pgSz w:w="11900" w:h="16840"/>
      <w:pgMar w:top="2269"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3978" w14:textId="77777777" w:rsidR="00AE250E" w:rsidRDefault="00AE250E">
      <w:r>
        <w:separator/>
      </w:r>
    </w:p>
  </w:endnote>
  <w:endnote w:type="continuationSeparator" w:id="0">
    <w:p w14:paraId="1E697095" w14:textId="77777777" w:rsidR="00AE250E" w:rsidRDefault="00A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5F2D" w14:textId="7D3428AF" w:rsidR="003803F6" w:rsidRDefault="00B539AD">
    <w:pPr>
      <w:pStyle w:val="Piedepgina"/>
      <w:tabs>
        <w:tab w:val="clear" w:pos="8504"/>
      </w:tabs>
      <w:ind w:left="-1985"/>
    </w:pPr>
    <w:r>
      <w:rPr>
        <w:rFonts w:ascii="Arial" w:hAnsi="Arial" w:cs="Arial"/>
        <w:noProof/>
        <w:sz w:val="20"/>
        <w:szCs w:val="20"/>
        <w:lang w:eastAsia="es-EC"/>
      </w:rPr>
      <w:drawing>
        <wp:anchor distT="0" distB="0" distL="114300" distR="114300" simplePos="0" relativeHeight="251659776" behindDoc="1" locked="0" layoutInCell="1" allowOverlap="1" wp14:anchorId="5509B3C4" wp14:editId="06583863">
          <wp:simplePos x="0" y="0"/>
          <wp:positionH relativeFrom="column">
            <wp:posOffset>-1241425</wp:posOffset>
          </wp:positionH>
          <wp:positionV relativeFrom="paragraph">
            <wp:posOffset>-3810</wp:posOffset>
          </wp:positionV>
          <wp:extent cx="7486650" cy="1276271"/>
          <wp:effectExtent l="0" t="0" r="0" b="635"/>
          <wp:wrapNone/>
          <wp:docPr id="13" name="Imagen 13" descr="::PAPELERÍA:MANUAL PAPELERÍ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MANUAL PAPELERÍA-13.png"/>
                  <pic:cNvPicPr>
                    <a:picLocks noChangeAspect="1" noChangeArrowheads="1"/>
                  </pic:cNvPicPr>
                </pic:nvPicPr>
                <pic:blipFill>
                  <a:blip r:embed="rId1">
                    <a:extLst>
                      <a:ext uri="{28A0092B-C50C-407E-A947-70E740481C1C}">
                        <a14:useLocalDpi xmlns:a14="http://schemas.microsoft.com/office/drawing/2010/main" val="0"/>
                      </a:ext>
                    </a:extLst>
                  </a:blip>
                  <a:srcRect t="75975"/>
                  <a:stretch>
                    <a:fillRect/>
                  </a:stretch>
                </pic:blipFill>
                <pic:spPr bwMode="auto">
                  <a:xfrm>
                    <a:off x="0" y="0"/>
                    <a:ext cx="7565823" cy="12897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8835" w14:textId="77777777" w:rsidR="00AE250E" w:rsidRDefault="00AE250E">
      <w:pPr>
        <w:spacing w:after="0"/>
      </w:pPr>
      <w:r>
        <w:separator/>
      </w:r>
    </w:p>
  </w:footnote>
  <w:footnote w:type="continuationSeparator" w:id="0">
    <w:p w14:paraId="246D0836" w14:textId="77777777" w:rsidR="00AE250E" w:rsidRDefault="00AE25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88F8" w14:textId="5A5AC463" w:rsidR="003803F6" w:rsidRDefault="00B539AD">
    <w:pPr>
      <w:pStyle w:val="Encabezado"/>
      <w:tabs>
        <w:tab w:val="clear" w:pos="8504"/>
        <w:tab w:val="right" w:pos="8498"/>
      </w:tabs>
      <w:ind w:left="-1985"/>
    </w:pPr>
    <w:r w:rsidRPr="00CA5BE3">
      <w:rPr>
        <w:noProof/>
        <w:lang w:eastAsia="es-EC"/>
      </w:rPr>
      <w:drawing>
        <wp:anchor distT="0" distB="0" distL="114300" distR="114300" simplePos="0" relativeHeight="251656704" behindDoc="1" locked="0" layoutInCell="1" allowOverlap="1" wp14:anchorId="29DF43E2" wp14:editId="47CEF8AF">
          <wp:simplePos x="0" y="0"/>
          <wp:positionH relativeFrom="column">
            <wp:posOffset>-1193800</wp:posOffset>
          </wp:positionH>
          <wp:positionV relativeFrom="paragraph">
            <wp:posOffset>66675</wp:posOffset>
          </wp:positionV>
          <wp:extent cx="6891800" cy="1638300"/>
          <wp:effectExtent l="0" t="0" r="444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54" cy="1639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B584D" w14:textId="6BACAC4C" w:rsidR="003803F6" w:rsidRDefault="003803F6" w:rsidP="00B539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8C019A9"/>
    <w:multiLevelType w:val="hybridMultilevel"/>
    <w:tmpl w:val="F404D4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5"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16cid:durableId="2034649314">
    <w:abstractNumId w:val="1"/>
  </w:num>
  <w:num w:numId="2" w16cid:durableId="410742629">
    <w:abstractNumId w:val="4"/>
  </w:num>
  <w:num w:numId="3" w16cid:durableId="1500120426">
    <w:abstractNumId w:val="0"/>
  </w:num>
  <w:num w:numId="4" w16cid:durableId="2114743613">
    <w:abstractNumId w:val="3"/>
  </w:num>
  <w:num w:numId="5" w16cid:durableId="1112744843">
    <w:abstractNumId w:val="5"/>
  </w:num>
  <w:num w:numId="6" w16cid:durableId="24511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56C7B"/>
    <w:rsid w:val="000678E9"/>
    <w:rsid w:val="00070010"/>
    <w:rsid w:val="000816A1"/>
    <w:rsid w:val="000C0863"/>
    <w:rsid w:val="000C58E8"/>
    <w:rsid w:val="000D5AD9"/>
    <w:rsid w:val="00112F2F"/>
    <w:rsid w:val="00133EF8"/>
    <w:rsid w:val="0013720F"/>
    <w:rsid w:val="00160594"/>
    <w:rsid w:val="001852A6"/>
    <w:rsid w:val="001B4453"/>
    <w:rsid w:val="001B62B9"/>
    <w:rsid w:val="001C1361"/>
    <w:rsid w:val="001D272F"/>
    <w:rsid w:val="0024093A"/>
    <w:rsid w:val="002A7E09"/>
    <w:rsid w:val="002C7EF8"/>
    <w:rsid w:val="002F5DA3"/>
    <w:rsid w:val="003223A8"/>
    <w:rsid w:val="00336C18"/>
    <w:rsid w:val="0034229E"/>
    <w:rsid w:val="00343F97"/>
    <w:rsid w:val="003803F6"/>
    <w:rsid w:val="003C5085"/>
    <w:rsid w:val="003D6505"/>
    <w:rsid w:val="0040130B"/>
    <w:rsid w:val="00436DC2"/>
    <w:rsid w:val="004550A5"/>
    <w:rsid w:val="0047169C"/>
    <w:rsid w:val="004C35C3"/>
    <w:rsid w:val="004F0B62"/>
    <w:rsid w:val="0052386E"/>
    <w:rsid w:val="00562D85"/>
    <w:rsid w:val="005720C3"/>
    <w:rsid w:val="005932E4"/>
    <w:rsid w:val="00597EA2"/>
    <w:rsid w:val="005B587A"/>
    <w:rsid w:val="005B6A5F"/>
    <w:rsid w:val="005C17E2"/>
    <w:rsid w:val="005C5F7C"/>
    <w:rsid w:val="005E211A"/>
    <w:rsid w:val="00631C22"/>
    <w:rsid w:val="00663E28"/>
    <w:rsid w:val="006A322E"/>
    <w:rsid w:val="006A4F47"/>
    <w:rsid w:val="006D7FA3"/>
    <w:rsid w:val="00747D3E"/>
    <w:rsid w:val="007506DF"/>
    <w:rsid w:val="00772CFF"/>
    <w:rsid w:val="007A79EE"/>
    <w:rsid w:val="00805800"/>
    <w:rsid w:val="008062B5"/>
    <w:rsid w:val="00820C55"/>
    <w:rsid w:val="008553A7"/>
    <w:rsid w:val="008A68D3"/>
    <w:rsid w:val="008C3FDF"/>
    <w:rsid w:val="008D4031"/>
    <w:rsid w:val="00936C24"/>
    <w:rsid w:val="00984ED6"/>
    <w:rsid w:val="009A0567"/>
    <w:rsid w:val="00A24CF7"/>
    <w:rsid w:val="00AA5822"/>
    <w:rsid w:val="00AA7DB1"/>
    <w:rsid w:val="00AB7C8B"/>
    <w:rsid w:val="00AE250E"/>
    <w:rsid w:val="00B31CB6"/>
    <w:rsid w:val="00B45798"/>
    <w:rsid w:val="00B539AD"/>
    <w:rsid w:val="00B55070"/>
    <w:rsid w:val="00B913E9"/>
    <w:rsid w:val="00BD74CD"/>
    <w:rsid w:val="00C11FCB"/>
    <w:rsid w:val="00C22C0D"/>
    <w:rsid w:val="00C501CA"/>
    <w:rsid w:val="00C52776"/>
    <w:rsid w:val="00C6634A"/>
    <w:rsid w:val="00C97328"/>
    <w:rsid w:val="00CA5AB7"/>
    <w:rsid w:val="00CC7472"/>
    <w:rsid w:val="00D94DD9"/>
    <w:rsid w:val="00DB0458"/>
    <w:rsid w:val="00DF585F"/>
    <w:rsid w:val="00E37517"/>
    <w:rsid w:val="00E43E7B"/>
    <w:rsid w:val="00E45036"/>
    <w:rsid w:val="00E47A80"/>
    <w:rsid w:val="00E621BC"/>
    <w:rsid w:val="00E6758E"/>
    <w:rsid w:val="00E67C57"/>
    <w:rsid w:val="00E85634"/>
    <w:rsid w:val="00EA5E24"/>
    <w:rsid w:val="00EF49EA"/>
    <w:rsid w:val="00F00C76"/>
    <w:rsid w:val="00F3047B"/>
    <w:rsid w:val="00F35219"/>
    <w:rsid w:val="00F47D0E"/>
    <w:rsid w:val="00FB7B98"/>
    <w:rsid w:val="00FC1E51"/>
    <w:rsid w:val="00FC725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 w:type="table" w:customStyle="1" w:styleId="TableNormal">
    <w:name w:val="Table Normal"/>
    <w:uiPriority w:val="2"/>
    <w:semiHidden/>
    <w:unhideWhenUsed/>
    <w:qFormat/>
    <w:rsid w:val="00B457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98"/>
    <w:pPr>
      <w:widowControl w:val="0"/>
      <w:autoSpaceDE w:val="0"/>
      <w:autoSpaceDN w:val="0"/>
      <w:spacing w:after="0"/>
    </w:pPr>
    <w:rPr>
      <w:rFonts w:ascii="Arial" w:eastAsia="Arial" w:hAnsi="Arial" w:cs="Arial"/>
      <w:sz w:val="22"/>
      <w:szCs w:val="22"/>
      <w:lang w:val="es-EC" w:eastAsia="es-EC" w:bidi="es-EC"/>
    </w:rPr>
  </w:style>
  <w:style w:type="paragraph" w:customStyle="1" w:styleId="Default">
    <w:name w:val="Default"/>
    <w:rsid w:val="00B45798"/>
    <w:pPr>
      <w:autoSpaceDE w:val="0"/>
      <w:autoSpaceDN w:val="0"/>
      <w:adjustRightInd w:val="0"/>
    </w:pPr>
    <w:rPr>
      <w:rFonts w:ascii="Arial" w:hAnsi="Arial" w:cs="Arial"/>
      <w:color w:val="000000"/>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852</Words>
  <Characters>4688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Ernesto Camacho</cp:lastModifiedBy>
  <cp:revision>5</cp:revision>
  <dcterms:created xsi:type="dcterms:W3CDTF">2023-05-18T20:51:00Z</dcterms:created>
  <dcterms:modified xsi:type="dcterms:W3CDTF">2023-05-18T21:36:00Z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